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7D1D8" w14:textId="77777777" w:rsidR="00FD7F7B" w:rsidRPr="00306D19" w:rsidRDefault="00FD7F7B" w:rsidP="00306D19">
      <w:pPr>
        <w:spacing w:line="360" w:lineRule="exact"/>
        <w:jc w:val="center"/>
        <w:rPr>
          <w:rFonts w:ascii="BIZ UDPゴシック" w:eastAsia="BIZ UDPゴシック" w:hAnsi="BIZ UDPゴシック"/>
          <w:szCs w:val="22"/>
        </w:rPr>
      </w:pPr>
      <w:r w:rsidRPr="00306D19">
        <w:rPr>
          <w:rFonts w:ascii="BIZ UDPゴシック" w:eastAsia="BIZ UDPゴシック" w:hAnsi="BIZ UDPゴシック"/>
          <w:szCs w:val="22"/>
        </w:rPr>
        <w:t>経済財政運営と改革の基本方針2025</w:t>
      </w:r>
    </w:p>
    <w:p w14:paraId="6F8D419E" w14:textId="2EB6ADD7" w:rsidR="00D146E7" w:rsidRPr="00306D19" w:rsidRDefault="00FD7F7B" w:rsidP="00306D19">
      <w:pPr>
        <w:spacing w:line="360" w:lineRule="exact"/>
        <w:jc w:val="center"/>
        <w:rPr>
          <w:rFonts w:ascii="BIZ UDPゴシック" w:eastAsia="BIZ UDPゴシック" w:hAnsi="BIZ UDPゴシック"/>
          <w:szCs w:val="22"/>
        </w:rPr>
      </w:pPr>
      <w:r w:rsidRPr="00306D19">
        <w:rPr>
          <w:rFonts w:ascii="BIZ UDPゴシック" w:eastAsia="BIZ UDPゴシック" w:hAnsi="BIZ UDPゴシック"/>
          <w:szCs w:val="22"/>
        </w:rPr>
        <w:t>～「今日より明日はよくなる」と実感できる社会へ～</w:t>
      </w:r>
    </w:p>
    <w:p w14:paraId="652B41F1" w14:textId="2D5BD19D" w:rsidR="00FD7F7B" w:rsidRPr="00306D19" w:rsidRDefault="00FD7F7B" w:rsidP="00306D19">
      <w:pPr>
        <w:spacing w:line="360" w:lineRule="exact"/>
        <w:jc w:val="center"/>
        <w:rPr>
          <w:rFonts w:ascii="BIZ UDPゴシック" w:eastAsia="BIZ UDPゴシック" w:hAnsi="BIZ UDPゴシック"/>
          <w:szCs w:val="22"/>
        </w:rPr>
      </w:pPr>
      <w:r w:rsidRPr="00306D19">
        <w:rPr>
          <w:rFonts w:ascii="BIZ UDPゴシック" w:eastAsia="BIZ UDPゴシック" w:hAnsi="BIZ UDPゴシック"/>
          <w:szCs w:val="22"/>
        </w:rPr>
        <w:t>令和７年６月</w:t>
      </w:r>
      <w:r w:rsidRPr="00306D19">
        <w:rPr>
          <w:rFonts w:ascii="BIZ UDPゴシック" w:eastAsia="BIZ UDPゴシック" w:hAnsi="BIZ UDPゴシック" w:hint="eastAsia"/>
          <w:szCs w:val="22"/>
        </w:rPr>
        <w:t>13</w:t>
      </w:r>
      <w:r w:rsidRPr="00306D19">
        <w:rPr>
          <w:rFonts w:ascii="BIZ UDPゴシック" w:eastAsia="BIZ UDPゴシック" w:hAnsi="BIZ UDPゴシック"/>
          <w:szCs w:val="22"/>
        </w:rPr>
        <w:t>日</w:t>
      </w:r>
    </w:p>
    <w:p w14:paraId="65EEBB22" w14:textId="77777777" w:rsidR="00306D19" w:rsidRPr="00306D19" w:rsidRDefault="00306D19" w:rsidP="00306D19">
      <w:pPr>
        <w:spacing w:line="360" w:lineRule="exact"/>
        <w:rPr>
          <w:rFonts w:ascii="BIZ UDPゴシック" w:eastAsia="BIZ UDPゴシック" w:hAnsi="BIZ UDPゴシック"/>
          <w:szCs w:val="22"/>
        </w:rPr>
      </w:pPr>
    </w:p>
    <w:p w14:paraId="2287A591" w14:textId="738C3C35" w:rsidR="00FD7F7B" w:rsidRPr="00306D19" w:rsidRDefault="00FD7F7B" w:rsidP="00306D19">
      <w:pPr>
        <w:spacing w:line="360" w:lineRule="exact"/>
        <w:rPr>
          <w:rFonts w:ascii="BIZ UDPゴシック" w:eastAsia="BIZ UDPゴシック" w:hAnsi="BIZ UDPゴシック"/>
          <w:szCs w:val="22"/>
        </w:rPr>
      </w:pPr>
      <w:r w:rsidRPr="00306D19">
        <w:rPr>
          <w:rFonts w:ascii="BIZ UDPゴシック" w:eastAsia="BIZ UDPゴシック" w:hAnsi="BIZ UDPゴシック"/>
          <w:szCs w:val="22"/>
        </w:rPr>
        <w:t>第３章 中長期的に持続可能な経済社会の実現</w:t>
      </w:r>
    </w:p>
    <w:p w14:paraId="611E2E63" w14:textId="286AEE67" w:rsidR="00FD7F7B" w:rsidRPr="00306D19" w:rsidRDefault="00FD7F7B" w:rsidP="00306D19">
      <w:pPr>
        <w:spacing w:line="360" w:lineRule="exact"/>
        <w:rPr>
          <w:rFonts w:ascii="BIZ UDPゴシック" w:eastAsia="BIZ UDPゴシック" w:hAnsi="BIZ UDPゴシック"/>
          <w:szCs w:val="22"/>
        </w:rPr>
      </w:pPr>
      <w:r w:rsidRPr="00306D19">
        <w:rPr>
          <w:rFonts w:ascii="BIZ UDPゴシック" w:eastAsia="BIZ UDPゴシック" w:hAnsi="BIZ UDPゴシック"/>
          <w:szCs w:val="22"/>
        </w:rPr>
        <w:t>２．主要分野ごとの重要課題と取組方針</w:t>
      </w:r>
    </w:p>
    <w:p w14:paraId="3500491E" w14:textId="77777777" w:rsidR="00FD7F7B" w:rsidRPr="00306D19" w:rsidRDefault="00FD7F7B" w:rsidP="00306D19">
      <w:pPr>
        <w:spacing w:line="360" w:lineRule="exact"/>
        <w:rPr>
          <w:rFonts w:ascii="BIZ UDPゴシック" w:eastAsia="BIZ UDPゴシック" w:hAnsi="BIZ UDPゴシック"/>
          <w:szCs w:val="22"/>
        </w:rPr>
      </w:pPr>
      <w:r w:rsidRPr="00306D19">
        <w:rPr>
          <w:rFonts w:ascii="BIZ UDPゴシック" w:eastAsia="BIZ UDPゴシック" w:hAnsi="BIZ UDPゴシック"/>
          <w:szCs w:val="22"/>
        </w:rPr>
        <w:t>（１）全世代型社会保障の構築</w:t>
      </w:r>
    </w:p>
    <w:p w14:paraId="37972488" w14:textId="77777777" w:rsidR="00FD7F7B" w:rsidRPr="00306D19" w:rsidRDefault="00FD7F7B" w:rsidP="00306D19">
      <w:pPr>
        <w:spacing w:line="360" w:lineRule="exact"/>
        <w:ind w:firstLineChars="100" w:firstLine="220"/>
        <w:rPr>
          <w:szCs w:val="22"/>
        </w:rPr>
      </w:pPr>
      <w:r w:rsidRPr="00306D19">
        <w:rPr>
          <w:szCs w:val="22"/>
        </w:rPr>
        <w:t>本格的な少子高齢化・人口減少が進む中、技術革新を促進し、中長期的な社会の構造変化に耐え得る強靱で持続可能な社会保障制度を確立する。</w:t>
      </w:r>
    </w:p>
    <w:p w14:paraId="0AED3A75" w14:textId="77777777" w:rsidR="00FD7F7B" w:rsidRPr="00306D19" w:rsidRDefault="00FD7F7B" w:rsidP="00306D19">
      <w:pPr>
        <w:spacing w:line="360" w:lineRule="exact"/>
        <w:ind w:firstLineChars="100" w:firstLine="220"/>
        <w:rPr>
          <w:szCs w:val="22"/>
        </w:rPr>
      </w:pPr>
      <w:r w:rsidRPr="00306D19">
        <w:rPr>
          <w:szCs w:val="22"/>
        </w:rPr>
        <w:t xml:space="preserve">このため、「経済・財政新生計 画」に基づき、持続可能な社会保障制度を構築するための改革を継続し、国民皆保険・皆年金を将来にわたって維持し、次世代に継承することが必要である。 </w:t>
      </w:r>
    </w:p>
    <w:p w14:paraId="7254519D" w14:textId="27CBE4F4" w:rsidR="00FD7F7B" w:rsidRPr="00306D19" w:rsidRDefault="00FD7F7B" w:rsidP="00306D19">
      <w:pPr>
        <w:spacing w:line="360" w:lineRule="exact"/>
        <w:ind w:firstLineChars="100" w:firstLine="220"/>
        <w:rPr>
          <w:szCs w:val="22"/>
        </w:rPr>
      </w:pPr>
      <w:r w:rsidRPr="00306D19">
        <w:rPr>
          <w:szCs w:val="22"/>
          <w:u w:val="single"/>
        </w:rPr>
        <w:t>医療・介護・障害福祉等の公定価格の分野の賃上げ、経営の安定、離職防止、人材確保 がしっかり図られるよう、コストカット型からの転換を明確に図る必要がある</w:t>
      </w:r>
      <w:r w:rsidRPr="00306D19">
        <w:rPr>
          <w:szCs w:val="22"/>
        </w:rPr>
        <w:t>。</w:t>
      </w:r>
      <w:r w:rsidRPr="00306D19">
        <w:rPr>
          <w:szCs w:val="22"/>
          <w:u w:val="single"/>
        </w:rPr>
        <w:t>このため、これまでの歳出改革を通じた保険料負担の抑制努力も継続しつつ、次期報酬改定を始めとした必要な対応策において、2025年春季労使交渉における力強い賃上げの実現や昨今の物価上昇による影響等について、経営の安定や現場で働く幅広い職種の方々の賃上げに確実につながるよう、的確な対応を行う</w:t>
      </w:r>
      <w:r w:rsidRPr="00306D19">
        <w:rPr>
          <w:szCs w:val="22"/>
        </w:rPr>
        <w:t>。</w:t>
      </w:r>
    </w:p>
    <w:p w14:paraId="7000E646" w14:textId="39AFA6FA" w:rsidR="00FD7F7B" w:rsidRPr="00306D19" w:rsidRDefault="00FD7F7B" w:rsidP="00306D19">
      <w:pPr>
        <w:spacing w:line="360" w:lineRule="exact"/>
        <w:ind w:firstLineChars="100" w:firstLine="220"/>
        <w:rPr>
          <w:szCs w:val="22"/>
        </w:rPr>
      </w:pPr>
      <w:r w:rsidRPr="00306D19">
        <w:rPr>
          <w:szCs w:val="22"/>
        </w:rPr>
        <w:t>このため、2024年度診療報酬改定による処遇改善・経営状況等の実態を把握・検証し、2025年末までに結論が得られるよう検討する。</w:t>
      </w:r>
      <w:r w:rsidRPr="00306D19">
        <w:rPr>
          <w:szCs w:val="22"/>
          <w:u w:val="single"/>
        </w:rPr>
        <w:t>また、介護・障害福祉分野の職員の他職種と遜色のない処遇改善や業務負担軽減等の実現に取り組むとともに、これまでの処遇改善等の実態を把握・検証し、2025年末までに結論が得られるよう検討する</w:t>
      </w:r>
      <w:r w:rsidRPr="00306D19">
        <w:rPr>
          <w:szCs w:val="22"/>
        </w:rPr>
        <w:t>。また、事業者の経営形態やサービス内容に応じた効果的な対応を検討する。持続可能な社会保障制度のための改革を実行し、現役世代の保険料負担を含む国民負担の軽減を実現するため、ＯＴＣ類似薬の保険給付の在り方の見直し</w:t>
      </w:r>
      <w:r w:rsidRPr="00306D19">
        <w:rPr>
          <w:rFonts w:hint="eastAsia"/>
          <w:szCs w:val="22"/>
        </w:rPr>
        <w:t>や</w:t>
      </w:r>
      <w:r w:rsidRPr="00306D19">
        <w:rPr>
          <w:szCs w:val="22"/>
        </w:rPr>
        <w:t>、地域フォーミュ ラリの全国展開、新たな地域医療構想に向けた病床削減、医療ＤＸを通じた効率的で質の高い医療の実現、現役世代に負担が偏りがちな構造の見直しによる応能負担の徹底、がんを含む生活習慣病の重症化予防とデータヘルスの推進などの改革について、引き続き行われる社会保障改革に関する議論の状況も踏まえ、2025年末までの予算編成過程で十分な検討を行い、早期に実現が可能なものについて、2026年度から実行する。</w:t>
      </w:r>
    </w:p>
    <w:p w14:paraId="538BCFAF" w14:textId="77113D14" w:rsidR="00FD7F7B" w:rsidRPr="00306D19" w:rsidRDefault="00FD7F7B" w:rsidP="00306D19">
      <w:pPr>
        <w:spacing w:beforeLines="50" w:before="180" w:afterLines="50" w:after="180" w:line="360" w:lineRule="exact"/>
        <w:rPr>
          <w:szCs w:val="22"/>
        </w:rPr>
      </w:pPr>
      <w:r w:rsidRPr="00306D19">
        <w:rPr>
          <w:rFonts w:hint="eastAsia"/>
          <w:szCs w:val="22"/>
        </w:rPr>
        <w:t>（略）</w:t>
      </w:r>
    </w:p>
    <w:p w14:paraId="0CFF9B61" w14:textId="77777777" w:rsidR="00306D19" w:rsidRPr="00306D19" w:rsidRDefault="00306D19" w:rsidP="00306D19">
      <w:pPr>
        <w:spacing w:line="360" w:lineRule="exact"/>
        <w:rPr>
          <w:rFonts w:ascii="BIZ UDPゴシック" w:eastAsia="BIZ UDPゴシック" w:hAnsi="BIZ UDPゴシック"/>
          <w:szCs w:val="22"/>
          <w:u w:val="single"/>
        </w:rPr>
      </w:pPr>
    </w:p>
    <w:p w14:paraId="627919AA" w14:textId="77777777" w:rsidR="00306D19" w:rsidRDefault="00306D19" w:rsidP="00306D19">
      <w:pPr>
        <w:spacing w:line="360" w:lineRule="exact"/>
        <w:rPr>
          <w:rFonts w:ascii="BIZ UDPゴシック" w:eastAsia="BIZ UDPゴシック" w:hAnsi="BIZ UDPゴシック"/>
          <w:szCs w:val="22"/>
          <w:u w:val="single"/>
        </w:rPr>
      </w:pPr>
    </w:p>
    <w:p w14:paraId="0BEDB917" w14:textId="77777777" w:rsidR="00306D19" w:rsidRDefault="00306D19" w:rsidP="00306D19">
      <w:pPr>
        <w:spacing w:line="360" w:lineRule="exact"/>
        <w:rPr>
          <w:rFonts w:ascii="BIZ UDPゴシック" w:eastAsia="BIZ UDPゴシック" w:hAnsi="BIZ UDPゴシック"/>
          <w:szCs w:val="22"/>
          <w:u w:val="single"/>
        </w:rPr>
      </w:pPr>
    </w:p>
    <w:p w14:paraId="5D146960" w14:textId="5ADA8358" w:rsidR="00FD7F7B" w:rsidRPr="00306D19" w:rsidRDefault="00FD7F7B" w:rsidP="00306D19">
      <w:pPr>
        <w:spacing w:line="360" w:lineRule="exact"/>
        <w:rPr>
          <w:rFonts w:ascii="BIZ UDPゴシック" w:eastAsia="BIZ UDPゴシック" w:hAnsi="BIZ UDPゴシック"/>
          <w:szCs w:val="22"/>
          <w:u w:val="single"/>
        </w:rPr>
      </w:pPr>
      <w:r w:rsidRPr="00306D19">
        <w:rPr>
          <w:rFonts w:ascii="BIZ UDPゴシック" w:eastAsia="BIZ UDPゴシック" w:hAnsi="BIZ UDPゴシック"/>
          <w:szCs w:val="22"/>
          <w:u w:val="single"/>
        </w:rPr>
        <w:lastRenderedPageBreak/>
        <w:t xml:space="preserve">（中長期的な介護提供体制の確保等） </w:t>
      </w:r>
    </w:p>
    <w:p w14:paraId="7FA5E0BE" w14:textId="19ABC812" w:rsidR="00FD7F7B" w:rsidRPr="00306D19" w:rsidRDefault="00FD7F7B" w:rsidP="00306D19">
      <w:pPr>
        <w:spacing w:line="360" w:lineRule="exact"/>
        <w:ind w:firstLineChars="100" w:firstLine="220"/>
        <w:rPr>
          <w:szCs w:val="22"/>
        </w:rPr>
      </w:pPr>
      <w:r w:rsidRPr="00306D19">
        <w:rPr>
          <w:szCs w:val="22"/>
        </w:rPr>
        <w:t>医療・介護ニーズを抱える高齢者や独居高齢者が増加する中、要介護状態や認知症になっても住み慣れた地域で安心して暮らせるよう、中長期的な介護サービス提供体制の確保 のための方向性を2025年中にまとめる。具体的には、2040年以降を見据え、人口減少や高齢化の進展によるサービス需要の地域差に応じ、中山間地域での柔軟な対応など各地域で 地域包括ケアシステムを深化させるための方策を整理しつつ、地域医療構想を踏まえた医療・介護連携や介護予防の強力な推進、質の高いケアマネジメントの実現を含めた多職 種間の連携や相談体制の充実、介護テクノロジーの社会実装に向けた実証・導入・伴走支 援による生産性向上、事業者間の連携・協働化や大規模化の経営改善の取組や、ワーキン グケアラーへの対応など官民連携による介護保険外サービスの普及、外国人を含む介護人 材の確保・定着を支援する。有料老人ホームの運営やサービスの透明性と質を確保する。</w:t>
      </w:r>
    </w:p>
    <w:p w14:paraId="39B4A4DD" w14:textId="2FA8F403" w:rsidR="00FD7F7B" w:rsidRPr="00306D19" w:rsidRDefault="00FD7F7B" w:rsidP="00306D19">
      <w:pPr>
        <w:spacing w:line="360" w:lineRule="exact"/>
        <w:ind w:firstLineChars="100" w:firstLine="220"/>
        <w:rPr>
          <w:szCs w:val="22"/>
        </w:rPr>
      </w:pPr>
      <w:r w:rsidRPr="00306D19">
        <w:rPr>
          <w:szCs w:val="22"/>
        </w:rPr>
        <w:t>介護保険制度について、利用者負担の判断基準の見直し等の給付と負担の見直しに関す る課題について、2025年末までに結論が得られるよう検討する。</w:t>
      </w:r>
    </w:p>
    <w:p w14:paraId="7D869C87" w14:textId="77777777" w:rsidR="00FD7F7B" w:rsidRPr="00306D19" w:rsidRDefault="00FD7F7B" w:rsidP="00306D19">
      <w:pPr>
        <w:spacing w:beforeLines="50" w:before="180" w:afterLines="50" w:after="180" w:line="360" w:lineRule="exact"/>
        <w:rPr>
          <w:szCs w:val="22"/>
        </w:rPr>
      </w:pPr>
      <w:r w:rsidRPr="00306D19">
        <w:rPr>
          <w:rFonts w:hint="eastAsia"/>
          <w:szCs w:val="22"/>
        </w:rPr>
        <w:t>（略）</w:t>
      </w:r>
    </w:p>
    <w:p w14:paraId="5C702DB3" w14:textId="77777777" w:rsidR="00FD7F7B" w:rsidRPr="00306D19" w:rsidRDefault="00FD7F7B" w:rsidP="00306D19">
      <w:pPr>
        <w:spacing w:line="360" w:lineRule="exact"/>
        <w:rPr>
          <w:rFonts w:ascii="BIZ UDPゴシック" w:eastAsia="BIZ UDPゴシック" w:hAnsi="BIZ UDPゴシック"/>
          <w:szCs w:val="22"/>
        </w:rPr>
      </w:pPr>
      <w:r w:rsidRPr="00306D19">
        <w:rPr>
          <w:rFonts w:ascii="BIZ UDPゴシック" w:eastAsia="BIZ UDPゴシック" w:hAnsi="BIZ UDPゴシック"/>
          <w:szCs w:val="22"/>
        </w:rPr>
        <w:t xml:space="preserve">４．物価上昇に合わせた公的制度の点検・見直し </w:t>
      </w:r>
    </w:p>
    <w:p w14:paraId="5ABE3084" w14:textId="77777777" w:rsidR="00FD7F7B" w:rsidRPr="00306D19" w:rsidRDefault="00FD7F7B" w:rsidP="00306D19">
      <w:pPr>
        <w:spacing w:line="360" w:lineRule="exact"/>
        <w:ind w:firstLineChars="100" w:firstLine="220"/>
        <w:rPr>
          <w:szCs w:val="22"/>
        </w:rPr>
      </w:pPr>
      <w:r w:rsidRPr="00306D19">
        <w:rPr>
          <w:szCs w:val="22"/>
        </w:rPr>
        <w:t>賃上げや投資が増加し、コストカット型経済からの脱却が見えてきた今、政府自身が、物価上昇を上回る賃金上昇の実現に向けて率先すべく、以下の３つの取組を総合的に実行する。</w:t>
      </w:r>
    </w:p>
    <w:p w14:paraId="0004793B" w14:textId="77777777" w:rsidR="00FD7F7B" w:rsidRPr="00306D19" w:rsidRDefault="00FD7F7B" w:rsidP="00306D19">
      <w:pPr>
        <w:spacing w:line="360" w:lineRule="exact"/>
        <w:ind w:firstLineChars="100" w:firstLine="220"/>
        <w:rPr>
          <w:szCs w:val="22"/>
        </w:rPr>
      </w:pPr>
      <w:r w:rsidRPr="00306D19">
        <w:rPr>
          <w:szCs w:val="22"/>
        </w:rPr>
        <w:t>その際には、労働の価値、平素からの備えの価値を正しく評価し、価格に表すことの重要性を軸に据えて取組を進める。</w:t>
      </w:r>
    </w:p>
    <w:p w14:paraId="1FA7DF08" w14:textId="77777777" w:rsidR="00FD7F7B" w:rsidRPr="00306D19" w:rsidRDefault="00FD7F7B" w:rsidP="00306D19">
      <w:pPr>
        <w:spacing w:line="360" w:lineRule="exact"/>
        <w:ind w:firstLineChars="100" w:firstLine="220"/>
        <w:rPr>
          <w:szCs w:val="22"/>
        </w:rPr>
      </w:pPr>
      <w:r w:rsidRPr="00306D19">
        <w:rPr>
          <w:szCs w:val="22"/>
        </w:rPr>
        <w:t>物価上昇が継続していることを踏まえ、予算、税制における長年据え置かれたままの様々な公的制度に係る基準額や閾値について、国民生活へ深刻な影響が及ばないよう、省庁横断的・網羅的に点検し、見直しを進める。その際、各項目の点検と併せ、政策効果を担保 するため、制度の特性に応じた定期的な改定ルールを設け、足元の物価上昇に的確に対応できるような仕組みづくりを行う。</w:t>
      </w:r>
    </w:p>
    <w:p w14:paraId="2F7F3E6A" w14:textId="77777777" w:rsidR="00FD7F7B" w:rsidRPr="00306D19" w:rsidRDefault="00FD7F7B" w:rsidP="00306D19">
      <w:pPr>
        <w:spacing w:line="360" w:lineRule="exact"/>
        <w:ind w:firstLineChars="100" w:firstLine="220"/>
        <w:rPr>
          <w:szCs w:val="22"/>
        </w:rPr>
      </w:pPr>
      <w:r w:rsidRPr="00306D19">
        <w:rPr>
          <w:szCs w:val="22"/>
        </w:rPr>
        <w:t>同時に、本基本方針第２章及び第３章に記載している、</w:t>
      </w:r>
    </w:p>
    <w:p w14:paraId="38708D54" w14:textId="77777777" w:rsidR="00FD7F7B" w:rsidRPr="00306D19" w:rsidRDefault="00FD7F7B" w:rsidP="00306D19">
      <w:pPr>
        <w:pStyle w:val="a9"/>
        <w:numPr>
          <w:ilvl w:val="0"/>
          <w:numId w:val="2"/>
        </w:numPr>
        <w:spacing w:line="360" w:lineRule="exact"/>
        <w:rPr>
          <w:szCs w:val="22"/>
        </w:rPr>
      </w:pPr>
      <w:r w:rsidRPr="00306D19">
        <w:rPr>
          <w:szCs w:val="22"/>
          <w:u w:val="single"/>
        </w:rPr>
        <w:t>公定価格（医療・介護・保育・福祉等）の引上げ</w:t>
      </w:r>
    </w:p>
    <w:p w14:paraId="623FE91C" w14:textId="12008164" w:rsidR="00FD7F7B" w:rsidRPr="00306D19" w:rsidRDefault="00FD7F7B" w:rsidP="00306D19">
      <w:pPr>
        <w:pStyle w:val="a9"/>
        <w:numPr>
          <w:ilvl w:val="0"/>
          <w:numId w:val="2"/>
        </w:numPr>
        <w:spacing w:line="360" w:lineRule="exact"/>
        <w:rPr>
          <w:szCs w:val="22"/>
        </w:rPr>
      </w:pPr>
      <w:r w:rsidRPr="00306D19">
        <w:rPr>
          <w:szCs w:val="22"/>
        </w:rPr>
        <w:t>働き手の賃上げ原資を確保できる官公需における価格転嫁の徹底を省庁横断的に推進する。</w:t>
      </w:r>
    </w:p>
    <w:p w14:paraId="639FA261" w14:textId="7E25514E" w:rsidR="00FD7F7B" w:rsidRPr="00306D19" w:rsidRDefault="00FD7F7B" w:rsidP="00306D19">
      <w:pPr>
        <w:spacing w:beforeLines="50" w:before="180" w:afterLines="50" w:after="180" w:line="360" w:lineRule="exact"/>
        <w:rPr>
          <w:szCs w:val="22"/>
        </w:rPr>
      </w:pPr>
      <w:r w:rsidRPr="00306D19">
        <w:rPr>
          <w:rFonts w:hint="eastAsia"/>
          <w:szCs w:val="22"/>
        </w:rPr>
        <w:t>（略）</w:t>
      </w:r>
    </w:p>
    <w:p w14:paraId="32931458" w14:textId="3499B6BD" w:rsidR="00306D19" w:rsidRPr="00306D19" w:rsidRDefault="00306D19" w:rsidP="00306D19">
      <w:pPr>
        <w:pStyle w:val="af0"/>
        <w:spacing w:line="360" w:lineRule="exact"/>
        <w:rPr>
          <w:sz w:val="22"/>
        </w:rPr>
      </w:pPr>
      <w:r w:rsidRPr="00306D19">
        <w:rPr>
          <w:rFonts w:hint="eastAsia"/>
          <w:sz w:val="22"/>
        </w:rPr>
        <w:t>以上</w:t>
      </w:r>
    </w:p>
    <w:sectPr w:rsidR="00306D19" w:rsidRPr="00306D19" w:rsidSect="008F58F0">
      <w:headerReference w:type="even" r:id="rId7"/>
      <w:headerReference w:type="default" r:id="rId8"/>
      <w:footerReference w:type="default" r:id="rId9"/>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6A3CB" w14:textId="77777777" w:rsidR="00904E5B" w:rsidRDefault="00904E5B" w:rsidP="00FD7F7B">
      <w:r>
        <w:separator/>
      </w:r>
    </w:p>
  </w:endnote>
  <w:endnote w:type="continuationSeparator" w:id="0">
    <w:p w14:paraId="4B7AA8EB" w14:textId="77777777" w:rsidR="00904E5B" w:rsidRDefault="00904E5B" w:rsidP="00FD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330422"/>
      <w:docPartObj>
        <w:docPartGallery w:val="Page Numbers (Bottom of Page)"/>
        <w:docPartUnique/>
      </w:docPartObj>
    </w:sdtPr>
    <w:sdtContent>
      <w:p w14:paraId="4DA49FAC" w14:textId="3E23FCE0" w:rsidR="00306D19" w:rsidRDefault="00306D19">
        <w:pPr>
          <w:pStyle w:val="ae"/>
          <w:jc w:val="center"/>
        </w:pPr>
        <w:r>
          <w:fldChar w:fldCharType="begin"/>
        </w:r>
        <w:r>
          <w:instrText>PAGE   \* MERGEFORMAT</w:instrText>
        </w:r>
        <w:r>
          <w:fldChar w:fldCharType="separate"/>
        </w:r>
        <w:r>
          <w:rPr>
            <w:lang w:val="ja-JP"/>
          </w:rPr>
          <w:t>2</w:t>
        </w:r>
        <w:r>
          <w:fldChar w:fldCharType="end"/>
        </w:r>
      </w:p>
    </w:sdtContent>
  </w:sdt>
  <w:p w14:paraId="408E026B" w14:textId="77777777" w:rsidR="00306D19" w:rsidRDefault="00306D1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5A325" w14:textId="77777777" w:rsidR="00904E5B" w:rsidRDefault="00904E5B" w:rsidP="00FD7F7B">
      <w:r>
        <w:separator/>
      </w:r>
    </w:p>
  </w:footnote>
  <w:footnote w:type="continuationSeparator" w:id="0">
    <w:p w14:paraId="1D66CC8B" w14:textId="77777777" w:rsidR="00904E5B" w:rsidRDefault="00904E5B" w:rsidP="00FD7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E5DE" w14:textId="77777777" w:rsidR="008F58F0" w:rsidRPr="00FD7F7B" w:rsidRDefault="008F58F0" w:rsidP="008F58F0">
    <w:pPr>
      <w:pStyle w:val="ac"/>
      <w:jc w:val="right"/>
      <w:rPr>
        <w:rFonts w:ascii="ＭＳ ゴシック" w:eastAsia="ＭＳ ゴシック" w:hAnsi="ＭＳ ゴシック"/>
      </w:rPr>
    </w:pPr>
    <w:r w:rsidRPr="00FD7F7B">
      <w:rPr>
        <w:rFonts w:ascii="ＭＳ ゴシック" w:eastAsia="ＭＳ ゴシック" w:hAnsi="ＭＳ ゴシック" w:hint="eastAsia"/>
      </w:rPr>
      <w:t>骨太の方針2025（抜粋）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080AF" w14:textId="77777777" w:rsidR="008F58F0" w:rsidRDefault="008F58F0" w:rsidP="00FD7F7B">
    <w:pPr>
      <w:pStyle w:val="ac"/>
      <w:jc w:val="right"/>
      <w:rPr>
        <w:rFonts w:ascii="ＭＳ ゴシック" w:eastAsia="ＭＳ ゴシック" w:hAnsi="ＭＳ ゴシック"/>
        <w:sz w:val="28"/>
        <w:szCs w:val="28"/>
      </w:rPr>
    </w:pPr>
    <w:r w:rsidRPr="008F58F0">
      <w:rPr>
        <w:rFonts w:ascii="ＭＳ ゴシック" w:eastAsia="ＭＳ ゴシック" w:hAnsi="ＭＳ ゴシック" w:hint="eastAsia"/>
        <w:sz w:val="28"/>
        <w:szCs w:val="28"/>
      </w:rPr>
      <w:t>【資料⑤】</w:t>
    </w:r>
  </w:p>
  <w:p w14:paraId="768380BC" w14:textId="4B96329D" w:rsidR="00FD7F7B" w:rsidRPr="00FD7F7B" w:rsidRDefault="00FD7F7B" w:rsidP="00FD7F7B">
    <w:pPr>
      <w:pStyle w:val="ac"/>
      <w:jc w:val="right"/>
      <w:rPr>
        <w:rFonts w:ascii="ＭＳ ゴシック" w:eastAsia="ＭＳ ゴシック" w:hAnsi="ＭＳ ゴシック"/>
      </w:rPr>
    </w:pPr>
    <w:bookmarkStart w:id="0" w:name="_Hlk203630820"/>
    <w:bookmarkStart w:id="1" w:name="_Hlk203630821"/>
    <w:bookmarkStart w:id="2" w:name="_Hlk203630823"/>
    <w:bookmarkStart w:id="3" w:name="_Hlk203630824"/>
    <w:r w:rsidRPr="00FD7F7B">
      <w:rPr>
        <w:rFonts w:ascii="ＭＳ ゴシック" w:eastAsia="ＭＳ ゴシック" w:hAnsi="ＭＳ ゴシック" w:hint="eastAsia"/>
      </w:rPr>
      <w:t>骨太の方針2025（抜粋）</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36068"/>
    <w:multiLevelType w:val="hybridMultilevel"/>
    <w:tmpl w:val="7B50400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734A1DCF"/>
    <w:multiLevelType w:val="hybridMultilevel"/>
    <w:tmpl w:val="A0C2AC06"/>
    <w:lvl w:ilvl="0" w:tplc="DE8662E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592979607">
    <w:abstractNumId w:val="0"/>
  </w:num>
  <w:num w:numId="2" w16cid:durableId="1278297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7B"/>
    <w:rsid w:val="000E6E3D"/>
    <w:rsid w:val="00305616"/>
    <w:rsid w:val="00306D19"/>
    <w:rsid w:val="008F58F0"/>
    <w:rsid w:val="00904E5B"/>
    <w:rsid w:val="00A1105B"/>
    <w:rsid w:val="00CC11A4"/>
    <w:rsid w:val="00D146E7"/>
    <w:rsid w:val="00FD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DBD50"/>
  <w15:chartTrackingRefBased/>
  <w15:docId w15:val="{A0D7F675-FB79-478C-8A47-E89ABA75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F7B"/>
  </w:style>
  <w:style w:type="paragraph" w:styleId="1">
    <w:name w:val="heading 1"/>
    <w:basedOn w:val="a"/>
    <w:next w:val="a"/>
    <w:link w:val="10"/>
    <w:uiPriority w:val="9"/>
    <w:qFormat/>
    <w:rsid w:val="00FD7F7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7F7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7F7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D7F7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7F7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7F7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7F7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7F7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7F7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7F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7F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7F7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D7F7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7F7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7F7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7F7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7F7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7F7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7F7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7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F7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7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F7B"/>
    <w:pPr>
      <w:spacing w:before="160" w:after="160"/>
      <w:jc w:val="center"/>
    </w:pPr>
    <w:rPr>
      <w:i/>
      <w:iCs/>
      <w:color w:val="404040" w:themeColor="text1" w:themeTint="BF"/>
    </w:rPr>
  </w:style>
  <w:style w:type="character" w:customStyle="1" w:styleId="a8">
    <w:name w:val="引用文 (文字)"/>
    <w:basedOn w:val="a0"/>
    <w:link w:val="a7"/>
    <w:uiPriority w:val="29"/>
    <w:rsid w:val="00FD7F7B"/>
    <w:rPr>
      <w:i/>
      <w:iCs/>
      <w:color w:val="404040" w:themeColor="text1" w:themeTint="BF"/>
    </w:rPr>
  </w:style>
  <w:style w:type="paragraph" w:styleId="a9">
    <w:name w:val="List Paragraph"/>
    <w:basedOn w:val="a"/>
    <w:uiPriority w:val="34"/>
    <w:qFormat/>
    <w:rsid w:val="00FD7F7B"/>
    <w:pPr>
      <w:ind w:left="720"/>
      <w:contextualSpacing/>
    </w:pPr>
  </w:style>
  <w:style w:type="character" w:styleId="21">
    <w:name w:val="Intense Emphasis"/>
    <w:basedOn w:val="a0"/>
    <w:uiPriority w:val="21"/>
    <w:qFormat/>
    <w:rsid w:val="00FD7F7B"/>
    <w:rPr>
      <w:i/>
      <w:iCs/>
      <w:color w:val="0F4761" w:themeColor="accent1" w:themeShade="BF"/>
    </w:rPr>
  </w:style>
  <w:style w:type="paragraph" w:styleId="22">
    <w:name w:val="Intense Quote"/>
    <w:basedOn w:val="a"/>
    <w:next w:val="a"/>
    <w:link w:val="23"/>
    <w:uiPriority w:val="30"/>
    <w:qFormat/>
    <w:rsid w:val="00FD7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7F7B"/>
    <w:rPr>
      <w:i/>
      <w:iCs/>
      <w:color w:val="0F4761" w:themeColor="accent1" w:themeShade="BF"/>
    </w:rPr>
  </w:style>
  <w:style w:type="character" w:styleId="24">
    <w:name w:val="Intense Reference"/>
    <w:basedOn w:val="a0"/>
    <w:uiPriority w:val="32"/>
    <w:qFormat/>
    <w:rsid w:val="00FD7F7B"/>
    <w:rPr>
      <w:b/>
      <w:bCs/>
      <w:smallCaps/>
      <w:color w:val="0F4761" w:themeColor="accent1" w:themeShade="BF"/>
      <w:spacing w:val="5"/>
    </w:rPr>
  </w:style>
  <w:style w:type="paragraph" w:styleId="aa">
    <w:name w:val="Date"/>
    <w:basedOn w:val="a"/>
    <w:next w:val="a"/>
    <w:link w:val="ab"/>
    <w:uiPriority w:val="99"/>
    <w:semiHidden/>
    <w:unhideWhenUsed/>
    <w:rsid w:val="00FD7F7B"/>
  </w:style>
  <w:style w:type="character" w:customStyle="1" w:styleId="ab">
    <w:name w:val="日付 (文字)"/>
    <w:basedOn w:val="a0"/>
    <w:link w:val="aa"/>
    <w:uiPriority w:val="99"/>
    <w:semiHidden/>
    <w:rsid w:val="00FD7F7B"/>
  </w:style>
  <w:style w:type="paragraph" w:styleId="ac">
    <w:name w:val="header"/>
    <w:basedOn w:val="a"/>
    <w:link w:val="ad"/>
    <w:uiPriority w:val="99"/>
    <w:unhideWhenUsed/>
    <w:rsid w:val="00FD7F7B"/>
    <w:pPr>
      <w:tabs>
        <w:tab w:val="center" w:pos="4252"/>
        <w:tab w:val="right" w:pos="8504"/>
      </w:tabs>
      <w:snapToGrid w:val="0"/>
    </w:pPr>
  </w:style>
  <w:style w:type="character" w:customStyle="1" w:styleId="ad">
    <w:name w:val="ヘッダー (文字)"/>
    <w:basedOn w:val="a0"/>
    <w:link w:val="ac"/>
    <w:uiPriority w:val="99"/>
    <w:rsid w:val="00FD7F7B"/>
  </w:style>
  <w:style w:type="paragraph" w:styleId="ae">
    <w:name w:val="footer"/>
    <w:basedOn w:val="a"/>
    <w:link w:val="af"/>
    <w:uiPriority w:val="99"/>
    <w:unhideWhenUsed/>
    <w:rsid w:val="00FD7F7B"/>
    <w:pPr>
      <w:tabs>
        <w:tab w:val="center" w:pos="4252"/>
        <w:tab w:val="right" w:pos="8504"/>
      </w:tabs>
      <w:snapToGrid w:val="0"/>
    </w:pPr>
  </w:style>
  <w:style w:type="character" w:customStyle="1" w:styleId="af">
    <w:name w:val="フッター (文字)"/>
    <w:basedOn w:val="a0"/>
    <w:link w:val="ae"/>
    <w:uiPriority w:val="99"/>
    <w:rsid w:val="00FD7F7B"/>
  </w:style>
  <w:style w:type="paragraph" w:styleId="af0">
    <w:name w:val="Closing"/>
    <w:basedOn w:val="a"/>
    <w:link w:val="af1"/>
    <w:uiPriority w:val="99"/>
    <w:unhideWhenUsed/>
    <w:rsid w:val="00306D19"/>
    <w:pPr>
      <w:jc w:val="right"/>
    </w:pPr>
    <w:rPr>
      <w:sz w:val="21"/>
      <w:szCs w:val="22"/>
    </w:rPr>
  </w:style>
  <w:style w:type="character" w:customStyle="1" w:styleId="af1">
    <w:name w:val="結語 (文字)"/>
    <w:basedOn w:val="a0"/>
    <w:link w:val="af0"/>
    <w:uiPriority w:val="99"/>
    <w:rsid w:val="00306D19"/>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全国老施協（松岡）</dc:creator>
  <cp:keywords/>
  <dc:description/>
  <cp:lastModifiedBy>岐阜県老人福祉施設協議会 一般社団法人</cp:lastModifiedBy>
  <cp:revision>2</cp:revision>
  <dcterms:created xsi:type="dcterms:W3CDTF">2025-06-24T00:59:00Z</dcterms:created>
  <dcterms:modified xsi:type="dcterms:W3CDTF">2025-07-16T22:47:00Z</dcterms:modified>
</cp:coreProperties>
</file>